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方正小标宋简体" w:hAnsi="宋体" w:eastAsia="方正小标宋简体" w:cs="宋体"/>
          <w:bCs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sz w:val="44"/>
          <w:szCs w:val="44"/>
        </w:rPr>
        <w:t>英吉沙县贫困村整治（林果种植）项目</w:t>
      </w:r>
    </w:p>
    <w:p>
      <w:pPr>
        <w:spacing w:line="570" w:lineRule="exact"/>
        <w:jc w:val="center"/>
        <w:rPr>
          <w:rFonts w:ascii="方正小标宋简体" w:hAnsi="宋体" w:eastAsia="方正小标宋简体" w:cs="宋体"/>
          <w:bCs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sz w:val="44"/>
          <w:szCs w:val="44"/>
        </w:rPr>
        <w:t>绩效自评报告</w:t>
      </w:r>
    </w:p>
    <w:p>
      <w:pPr>
        <w:numPr>
          <w:ilvl w:val="0"/>
          <w:numId w:val="1"/>
        </w:numPr>
        <w:spacing w:before="100" w:beforeAutospacing="1" w:line="570" w:lineRule="exact"/>
        <w:ind w:firstLine="640" w:firstLineChars="200"/>
        <w:jc w:val="left"/>
        <w:rPr>
          <w:rFonts w:ascii="Times New Roman" w:hAnsi="Times New Roman" w:eastAsia="黑体" w:cs="Times New Roman"/>
          <w:bCs/>
          <w:kern w:val="44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kern w:val="44"/>
          <w:sz w:val="32"/>
          <w:szCs w:val="32"/>
        </w:rPr>
        <w:t>项目概况</w:t>
      </w:r>
    </w:p>
    <w:p>
      <w:pPr>
        <w:numPr>
          <w:ilvl w:val="0"/>
          <w:numId w:val="2"/>
        </w:numPr>
        <w:spacing w:line="570" w:lineRule="exact"/>
        <w:ind w:firstLine="640" w:firstLineChars="200"/>
        <w:rPr>
          <w:rFonts w:ascii="楷体_GB2312" w:hAnsi="仿宋" w:eastAsia="楷体_GB2312" w:cs="Times New Roman"/>
          <w:color w:val="000000"/>
          <w:sz w:val="32"/>
          <w:szCs w:val="32"/>
        </w:rPr>
      </w:pPr>
      <w:r>
        <w:rPr>
          <w:rFonts w:hint="eastAsia" w:ascii="楷体_GB2312" w:hAnsi="仿宋" w:eastAsia="楷体_GB2312" w:cs="Times New Roman"/>
          <w:color w:val="000000"/>
          <w:sz w:val="32"/>
          <w:szCs w:val="32"/>
        </w:rPr>
        <w:t>项目简介</w:t>
      </w:r>
    </w:p>
    <w:p>
      <w:pPr>
        <w:spacing w:line="570" w:lineRule="exact"/>
        <w:ind w:firstLine="640" w:firstLineChars="200"/>
        <w:rPr>
          <w:rFonts w:ascii="仿宋_GB2312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为认真贯彻落实《习近平总书记重要讲话精神加快推进深度贫困地区脱贫攻坚的意见》精神，到户到人精准施策，加快推进我乡2个贫困村脱贫攻坚工作，坚决打赢脱贫攻坚这场硬仗，根据贫困户房前屋后实际情况实施果树种植，主要种植杏子、西梅、桃树等，项目总投资</w:t>
      </w:r>
      <w:r>
        <w:rPr>
          <w:rFonts w:ascii="仿宋_GB2312" w:hAnsi="宋体" w:eastAsia="仿宋_GB2312" w:cs="Times New Roman"/>
          <w:color w:val="000000"/>
          <w:sz w:val="32"/>
          <w:szCs w:val="32"/>
        </w:rPr>
        <w:t>37.939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8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万元，实施面积632亩，每亩补助765.53元，项目受益贫困户198户。</w:t>
      </w:r>
    </w:p>
    <w:p>
      <w:pPr>
        <w:numPr>
          <w:ilvl w:val="0"/>
          <w:numId w:val="2"/>
        </w:numPr>
        <w:spacing w:line="570" w:lineRule="exact"/>
        <w:ind w:firstLine="640" w:firstLineChars="200"/>
        <w:rPr>
          <w:rFonts w:ascii="楷体_GB2312" w:hAnsi="仿宋" w:eastAsia="楷体_GB2312" w:cs="Times New Roman"/>
          <w:color w:val="000000"/>
          <w:sz w:val="32"/>
          <w:szCs w:val="32"/>
        </w:rPr>
      </w:pPr>
      <w:r>
        <w:rPr>
          <w:rFonts w:hint="eastAsia" w:ascii="楷体_GB2312" w:hAnsi="仿宋" w:eastAsia="楷体_GB2312" w:cs="Times New Roman"/>
          <w:color w:val="000000"/>
          <w:sz w:val="32"/>
          <w:szCs w:val="32"/>
        </w:rPr>
        <w:t>项目绩效目标</w:t>
      </w:r>
    </w:p>
    <w:p>
      <w:pPr>
        <w:numPr>
          <w:ilvl w:val="0"/>
          <w:numId w:val="3"/>
        </w:numPr>
        <w:tabs>
          <w:tab w:val="clear" w:pos="312"/>
        </w:tabs>
        <w:spacing w:line="570" w:lineRule="exact"/>
        <w:ind w:left="1000" w:hanging="360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项目绩效总目标</w:t>
      </w:r>
    </w:p>
    <w:p>
      <w:pPr>
        <w:autoSpaceDE w:val="0"/>
        <w:autoSpaceDN w:val="0"/>
        <w:adjustRightInd w:val="0"/>
        <w:spacing w:line="570" w:lineRule="exact"/>
        <w:ind w:firstLine="640" w:firstLineChars="200"/>
        <w:jc w:val="left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贫困村整治和青贮收获机补贴涉农项目建成后，能够将贫困村林果结构的到有效提升，既为本县林果产业可持续发展奠定坚实基础，又有着巨大的间接经济效益。可增强地方经济，促进社会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  <w:lang w:eastAsia="zh-CN"/>
        </w:rPr>
        <w:t>和谐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；随着大量的优良品种的引入和使用，将提高果农的整体科技水平。使果农的市场参与意识、产品优质优价意识和产品竞争意识等得到提高。</w:t>
      </w:r>
    </w:p>
    <w:p>
      <w:pPr>
        <w:numPr>
          <w:ilvl w:val="0"/>
          <w:numId w:val="1"/>
        </w:numPr>
        <w:spacing w:before="100" w:beforeAutospacing="1" w:line="570" w:lineRule="exact"/>
        <w:ind w:firstLine="640" w:firstLineChars="200"/>
        <w:jc w:val="left"/>
        <w:rPr>
          <w:rFonts w:ascii="Times New Roman" w:hAnsi="Times New Roman" w:eastAsia="黑体" w:cs="Times New Roman"/>
          <w:bCs/>
          <w:kern w:val="44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kern w:val="44"/>
          <w:sz w:val="32"/>
          <w:szCs w:val="32"/>
        </w:rPr>
        <w:t>项目资金使用管理情况</w:t>
      </w:r>
    </w:p>
    <w:p>
      <w:pPr>
        <w:numPr>
          <w:ilvl w:val="0"/>
          <w:numId w:val="4"/>
        </w:numPr>
        <w:tabs>
          <w:tab w:val="clear" w:pos="312"/>
        </w:tabs>
        <w:spacing w:line="570" w:lineRule="exact"/>
        <w:ind w:left="1000" w:hanging="360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项目资金预算安排情况</w:t>
      </w:r>
    </w:p>
    <w:p>
      <w:pPr>
        <w:spacing w:line="570" w:lineRule="exact"/>
        <w:ind w:firstLine="707" w:firstLineChars="221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项目资金总到位</w:t>
      </w:r>
      <w:r>
        <w:rPr>
          <w:rFonts w:ascii="仿宋_GB2312" w:hAnsi="宋体" w:eastAsia="仿宋_GB2312" w:cs="Times New Roman"/>
          <w:color w:val="000000"/>
          <w:sz w:val="32"/>
          <w:szCs w:val="32"/>
        </w:rPr>
        <w:t>37.939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8万元，实施面积632亩，每亩补助765.53元。</w:t>
      </w:r>
    </w:p>
    <w:p>
      <w:pPr>
        <w:numPr>
          <w:ilvl w:val="0"/>
          <w:numId w:val="4"/>
        </w:numPr>
        <w:tabs>
          <w:tab w:val="clear" w:pos="312"/>
        </w:tabs>
        <w:spacing w:line="570" w:lineRule="exact"/>
        <w:ind w:left="1000" w:hanging="360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项目实际支出情况</w:t>
      </w:r>
    </w:p>
    <w:p>
      <w:pPr>
        <w:spacing w:line="570" w:lineRule="exact"/>
        <w:ind w:firstLine="707" w:firstLineChars="221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项目资金总到位</w:t>
      </w:r>
      <w:r>
        <w:rPr>
          <w:rFonts w:ascii="仿宋_GB2312" w:hAnsi="宋体" w:eastAsia="仿宋_GB2312" w:cs="Times New Roman"/>
          <w:color w:val="000000"/>
          <w:sz w:val="32"/>
          <w:szCs w:val="32"/>
        </w:rPr>
        <w:t>37.939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8万元，资金已支出</w:t>
      </w:r>
      <w:r>
        <w:rPr>
          <w:rFonts w:ascii="仿宋_GB2312" w:hAnsi="宋体" w:eastAsia="仿宋_GB2312" w:cs="Times New Roman"/>
          <w:color w:val="000000"/>
          <w:sz w:val="32"/>
          <w:szCs w:val="32"/>
        </w:rPr>
        <w:t>37.939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8万元。</w:t>
      </w:r>
    </w:p>
    <w:p>
      <w:pPr>
        <w:numPr>
          <w:ilvl w:val="0"/>
          <w:numId w:val="4"/>
        </w:numPr>
        <w:tabs>
          <w:tab w:val="clear" w:pos="312"/>
        </w:tabs>
        <w:spacing w:line="570" w:lineRule="exact"/>
        <w:ind w:left="1000" w:hanging="360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项目财务管理状况、管理制度及执行情况</w:t>
      </w:r>
    </w:p>
    <w:p>
      <w:pPr>
        <w:spacing w:line="570" w:lineRule="exact"/>
        <w:ind w:firstLine="707" w:firstLineChars="221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我单位项目资金使用、管理严格按照《喀什地区财政扶贫资金管理办法（试行）》，根据各乡镇、村验收合格面积由财政直接拨付至乡镇发放给种植户。使用管理中不存在弄虚作假，挤占、挪用，截留资金等违法行为。</w:t>
      </w:r>
    </w:p>
    <w:p>
      <w:pPr>
        <w:numPr>
          <w:ilvl w:val="0"/>
          <w:numId w:val="1"/>
        </w:numPr>
        <w:adjustRightInd w:val="0"/>
        <w:snapToGrid w:val="0"/>
        <w:spacing w:line="570" w:lineRule="exact"/>
        <w:ind w:firstLine="624" w:firstLineChars="200"/>
        <w:outlineLvl w:val="0"/>
        <w:rPr>
          <w:rStyle w:val="6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6"/>
          <w:rFonts w:hint="eastAsia" w:ascii="黑体" w:hAnsi="黑体" w:eastAsia="黑体"/>
          <w:b w:val="0"/>
          <w:spacing w:val="-4"/>
          <w:sz w:val="32"/>
          <w:szCs w:val="32"/>
        </w:rPr>
        <w:t>项目组织实施情况</w:t>
      </w:r>
    </w:p>
    <w:p>
      <w:pPr>
        <w:spacing w:line="570" w:lineRule="exact"/>
        <w:ind w:firstLine="640" w:firstLineChars="200"/>
        <w:rPr>
          <w:rFonts w:ascii="楷体_GB2312" w:hAnsi="仿宋" w:eastAsia="楷体_GB2312"/>
          <w:color w:val="000000"/>
          <w:sz w:val="32"/>
          <w:szCs w:val="32"/>
        </w:rPr>
      </w:pPr>
      <w:r>
        <w:rPr>
          <w:rFonts w:hint="eastAsia" w:ascii="楷体_GB2312" w:hAnsi="仿宋" w:eastAsia="楷体_GB2312"/>
          <w:color w:val="000000"/>
          <w:sz w:val="32"/>
          <w:szCs w:val="32"/>
        </w:rPr>
        <w:t>（一）项目组织情况分析</w:t>
      </w:r>
    </w:p>
    <w:p>
      <w:pPr>
        <w:spacing w:line="570" w:lineRule="exact"/>
        <w:ind w:firstLine="640" w:firstLineChars="200"/>
        <w:rPr>
          <w:rFonts w:ascii="仿宋_GB2312" w:eastAsia="仿宋_GB2312"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Cs/>
          <w:color w:val="000000"/>
          <w:sz w:val="32"/>
          <w:szCs w:val="32"/>
        </w:rPr>
        <w:t>包括：项目投标情况、调整情况、完成验收等方面。</w:t>
      </w:r>
    </w:p>
    <w:p>
      <w:pPr>
        <w:spacing w:line="570" w:lineRule="exact"/>
        <w:ind w:firstLine="640" w:firstLineChars="200"/>
        <w:rPr>
          <w:rFonts w:ascii="仿宋_GB2312" w:eastAsia="仿宋_GB2312"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Cs/>
          <w:color w:val="000000"/>
          <w:sz w:val="32"/>
          <w:szCs w:val="32"/>
        </w:rPr>
        <w:t>该项目属于农户个人补助项目,没有达到招投标限额,由实施单位负责自行组织实施。项目实施由英吉沙县林业局、涉及乡镇共同监管。</w:t>
      </w:r>
    </w:p>
    <w:p>
      <w:pPr>
        <w:spacing w:line="570" w:lineRule="exact"/>
        <w:ind w:firstLine="640" w:firstLineChars="200"/>
        <w:rPr>
          <w:rFonts w:ascii="仿宋_GB2312" w:eastAsia="仿宋_GB2312"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Cs/>
          <w:color w:val="000000"/>
          <w:sz w:val="32"/>
          <w:szCs w:val="32"/>
        </w:rPr>
        <w:t>本项目不存在调整情况。</w:t>
      </w:r>
    </w:p>
    <w:p>
      <w:pPr>
        <w:spacing w:line="570" w:lineRule="exact"/>
        <w:ind w:firstLine="707" w:firstLineChars="221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春季农户自行种植规定树种，乡镇组织验收合格后向县级主管部门申请复验，经复验合格后，由乡镇将补助资金发放给种植户。</w:t>
      </w:r>
    </w:p>
    <w:p>
      <w:pPr>
        <w:spacing w:line="570" w:lineRule="exact"/>
        <w:ind w:firstLine="640" w:firstLineChars="200"/>
        <w:rPr>
          <w:rFonts w:ascii="楷体_GB2312" w:hAnsi="仿宋" w:eastAsia="楷体_GB2312"/>
          <w:color w:val="000000"/>
          <w:sz w:val="32"/>
          <w:szCs w:val="32"/>
        </w:rPr>
      </w:pPr>
      <w:r>
        <w:rPr>
          <w:rFonts w:hint="eastAsia" w:ascii="楷体_GB2312" w:hAnsi="仿宋" w:eastAsia="楷体_GB2312"/>
          <w:color w:val="000000"/>
          <w:sz w:val="32"/>
          <w:szCs w:val="32"/>
        </w:rPr>
        <w:t>（二）项目管理情况分析</w:t>
      </w:r>
    </w:p>
    <w:p>
      <w:pPr>
        <w:spacing w:line="570" w:lineRule="exact"/>
        <w:ind w:firstLine="640" w:firstLineChars="200"/>
      </w:pPr>
      <w:r>
        <w:rPr>
          <w:rFonts w:hint="eastAsia" w:ascii="仿宋_GB2312" w:eastAsia="仿宋_GB2312"/>
          <w:color w:val="000000"/>
          <w:sz w:val="32"/>
          <w:szCs w:val="32"/>
        </w:rPr>
        <w:t>项目实施过程中，</w:t>
      </w:r>
      <w:r>
        <w:rPr>
          <w:rFonts w:hint="eastAsia" w:ascii="仿宋_GB2312" w:eastAsia="仿宋_GB2312"/>
          <w:bCs/>
          <w:color w:val="000000"/>
          <w:sz w:val="32"/>
          <w:szCs w:val="32"/>
        </w:rPr>
        <w:t>制定了项目实施方案，</w:t>
      </w:r>
      <w:r>
        <w:rPr>
          <w:rFonts w:hint="eastAsia" w:ascii="仿宋_GB2312" w:eastAsia="仿宋_GB2312"/>
          <w:color w:val="000000"/>
          <w:sz w:val="32"/>
          <w:szCs w:val="32"/>
        </w:rPr>
        <w:t>切实保障了项目的顺利实施。项目的实施遵守相关法律法规和业务管理规定，项目资料齐全并及时归档。并不定期对项目进度情况进行督导检查，对检查过程中发现的问题及时督促整改，确保了项目按时保质完成。</w:t>
      </w:r>
    </w:p>
    <w:p>
      <w:pPr>
        <w:numPr>
          <w:ilvl w:val="0"/>
          <w:numId w:val="1"/>
        </w:numPr>
        <w:spacing w:line="570" w:lineRule="exact"/>
        <w:ind w:firstLine="640" w:firstLineChars="200"/>
        <w:jc w:val="left"/>
        <w:rPr>
          <w:rFonts w:ascii="Times New Roman" w:hAnsi="Times New Roman" w:eastAsia="黑体" w:cs="Times New Roman"/>
          <w:bCs/>
          <w:kern w:val="44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kern w:val="44"/>
          <w:sz w:val="32"/>
          <w:szCs w:val="32"/>
        </w:rPr>
        <w:t>项目绩效目标实现的自我评价</w:t>
      </w:r>
    </w:p>
    <w:p>
      <w:pPr>
        <w:numPr>
          <w:ilvl w:val="0"/>
          <w:numId w:val="5"/>
        </w:numPr>
        <w:spacing w:line="570" w:lineRule="exact"/>
        <w:ind w:firstLine="640" w:firstLineChars="200"/>
        <w:rPr>
          <w:rFonts w:ascii="楷体_GB2312" w:hAnsi="仿宋" w:eastAsia="楷体_GB2312" w:cs="Times New Roman"/>
          <w:color w:val="000000"/>
          <w:sz w:val="32"/>
          <w:szCs w:val="32"/>
        </w:rPr>
      </w:pPr>
      <w:r>
        <w:rPr>
          <w:rFonts w:hint="eastAsia" w:ascii="楷体_GB2312" w:hAnsi="仿宋" w:eastAsia="楷体_GB2312" w:cs="Times New Roman"/>
          <w:color w:val="000000"/>
          <w:sz w:val="32"/>
          <w:szCs w:val="32"/>
        </w:rPr>
        <w:t>绩效指标分析</w:t>
      </w:r>
    </w:p>
    <w:p>
      <w:pPr>
        <w:spacing w:line="570" w:lineRule="exact"/>
        <w:ind w:left="1000" w:hanging="360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1.产出指标完成情况分析。</w:t>
      </w:r>
    </w:p>
    <w:p>
      <w:pPr>
        <w:spacing w:line="570" w:lineRule="exact"/>
        <w:ind w:firstLine="640" w:firstLineChars="200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（1）数量指标完成情况。项目受益6个贫困村，种植632亩规定树种，198户种植户。</w:t>
      </w:r>
    </w:p>
    <w:p>
      <w:pPr>
        <w:spacing w:line="570" w:lineRule="exact"/>
        <w:ind w:firstLine="640" w:firstLineChars="200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（2）质量指标完成情况。目前632亩种植完成，合格率达到既定目标。</w:t>
      </w:r>
    </w:p>
    <w:p>
      <w:pPr>
        <w:spacing w:line="570" w:lineRule="exact"/>
        <w:ind w:firstLine="640" w:firstLineChars="200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（3）时效指标完成情况。项目实施严格按照实施方案时间进度及验收情况及时补贴。</w:t>
      </w:r>
    </w:p>
    <w:p>
      <w:pPr>
        <w:spacing w:line="570" w:lineRule="exact"/>
        <w:ind w:left="1000" w:hanging="360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2.效益指标</w:t>
      </w:r>
    </w:p>
    <w:p>
      <w:pPr>
        <w:spacing w:line="570" w:lineRule="exact"/>
        <w:ind w:firstLine="640" w:firstLineChars="200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（1）经济效益指标。通过林果种植，能够将贫困村林果结构的到有效提升，既为本县林果产业可持续发展奠定坚实基础，又有着巨大的间接经济效益。</w:t>
      </w:r>
    </w:p>
    <w:p>
      <w:pPr>
        <w:spacing w:line="570" w:lineRule="exact"/>
        <w:ind w:firstLine="640" w:firstLineChars="200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（2）社会效益指标。项目实施后，可增强地方经济，促进社会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  <w:lang w:eastAsia="zh-CN"/>
        </w:rPr>
        <w:t>和谐</w:t>
      </w:r>
      <w:bookmarkStart w:id="0" w:name="_GoBack"/>
      <w:bookmarkEnd w:id="0"/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；随着大量的优良品种的引入和使用，将提高果农的整体科技水平。使果农的市场参与意识、产品优质优价意识和产品竞争意识等得到提高。</w:t>
      </w:r>
    </w:p>
    <w:p>
      <w:pPr>
        <w:spacing w:line="570" w:lineRule="exact"/>
        <w:ind w:firstLine="640" w:firstLineChars="200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（3）可持续影响指标。在一定程度上改善项目区内的气候，减少荒漠生态系统对绿洲生态系统的干扰；增加森林覆盖率，达到净化大气的目的,其生态效益较为显著。</w:t>
      </w:r>
    </w:p>
    <w:p>
      <w:pPr>
        <w:spacing w:line="570" w:lineRule="exact"/>
        <w:ind w:left="1000" w:hanging="360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3.满意度指标</w:t>
      </w:r>
    </w:p>
    <w:p>
      <w:pPr>
        <w:spacing w:line="570" w:lineRule="exact"/>
        <w:ind w:firstLine="640" w:firstLineChars="200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服务对象满意度指标。通过今年林果种植项目实施，增加了种植户林果面积，对今后盛果期所产生的经济效益信心满满。</w:t>
      </w:r>
    </w:p>
    <w:p>
      <w:pPr>
        <w:numPr>
          <w:ilvl w:val="0"/>
          <w:numId w:val="5"/>
        </w:numPr>
        <w:spacing w:line="570" w:lineRule="exact"/>
        <w:ind w:firstLine="640" w:firstLineChars="200"/>
        <w:rPr>
          <w:rFonts w:ascii="楷体_GB2312" w:hAnsi="仿宋" w:eastAsia="楷体_GB2312" w:cs="Times New Roman"/>
          <w:color w:val="000000"/>
          <w:sz w:val="32"/>
          <w:szCs w:val="32"/>
        </w:rPr>
      </w:pPr>
      <w:r>
        <w:rPr>
          <w:rFonts w:hint="eastAsia" w:ascii="楷体_GB2312" w:hAnsi="仿宋" w:eastAsia="楷体_GB2312" w:cs="Times New Roman"/>
          <w:color w:val="000000"/>
          <w:sz w:val="32"/>
          <w:szCs w:val="32"/>
        </w:rPr>
        <w:t>项目取得的成效。</w:t>
      </w:r>
    </w:p>
    <w:p>
      <w:pPr>
        <w:spacing w:line="570" w:lineRule="exact"/>
        <w:ind w:firstLine="640" w:firstLineChars="200"/>
        <w:rPr>
          <w:rFonts w:ascii="仿宋_GB2312" w:hAnsi="宋体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优化林果种植结构，庭院经济得到提升。</w:t>
      </w:r>
    </w:p>
    <w:p>
      <w:pPr>
        <w:numPr>
          <w:ilvl w:val="0"/>
          <w:numId w:val="1"/>
        </w:numPr>
        <w:spacing w:line="570" w:lineRule="exact"/>
        <w:ind w:firstLine="640" w:firstLineChars="200"/>
        <w:jc w:val="left"/>
        <w:rPr>
          <w:rFonts w:ascii="Times New Roman" w:hAnsi="Times New Roman" w:eastAsia="黑体" w:cs="Times New Roman"/>
          <w:bCs/>
          <w:kern w:val="44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kern w:val="44"/>
          <w:sz w:val="32"/>
          <w:szCs w:val="32"/>
        </w:rPr>
        <w:t>项目实施的经验、存在的问题和意见建议</w:t>
      </w:r>
    </w:p>
    <w:p>
      <w:pPr>
        <w:numPr>
          <w:ilvl w:val="0"/>
          <w:numId w:val="6"/>
        </w:numPr>
        <w:spacing w:line="570" w:lineRule="exact"/>
        <w:ind w:firstLine="640" w:firstLineChars="200"/>
        <w:rPr>
          <w:rFonts w:ascii="楷体_GB2312" w:hAnsi="仿宋" w:eastAsia="楷体_GB2312" w:cs="Times New Roman"/>
          <w:color w:val="000000"/>
          <w:sz w:val="32"/>
          <w:szCs w:val="32"/>
        </w:rPr>
      </w:pPr>
      <w:r>
        <w:rPr>
          <w:rFonts w:hint="eastAsia" w:ascii="楷体_GB2312" w:hAnsi="仿宋" w:eastAsia="楷体_GB2312" w:cs="Times New Roman"/>
          <w:color w:val="000000"/>
          <w:sz w:val="32"/>
          <w:szCs w:val="32"/>
        </w:rPr>
        <w:t>项目实施过程中好的经验做法；</w:t>
      </w:r>
    </w:p>
    <w:p>
      <w:pPr>
        <w:spacing w:line="570" w:lineRule="exact"/>
        <w:ind w:firstLine="640" w:firstLineChars="200"/>
        <w:rPr>
          <w:rFonts w:ascii="仿宋_GB2312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通过项目开展前期对果农现场指导、培训，提高了果农科学管理、种植水平，提升了种植成活率。</w:t>
      </w:r>
    </w:p>
    <w:p>
      <w:pPr>
        <w:numPr>
          <w:ilvl w:val="0"/>
          <w:numId w:val="6"/>
        </w:numPr>
        <w:spacing w:line="570" w:lineRule="exact"/>
        <w:ind w:firstLine="640" w:firstLineChars="200"/>
        <w:rPr>
          <w:rFonts w:ascii="楷体_GB2312" w:hAnsi="仿宋" w:eastAsia="楷体_GB2312" w:cs="Times New Roman"/>
          <w:color w:val="000000"/>
          <w:sz w:val="32"/>
          <w:szCs w:val="32"/>
        </w:rPr>
      </w:pPr>
      <w:r>
        <w:rPr>
          <w:rFonts w:hint="eastAsia" w:ascii="楷体_GB2312" w:hAnsi="仿宋" w:eastAsia="楷体_GB2312" w:cs="Times New Roman"/>
          <w:color w:val="000000"/>
          <w:sz w:val="32"/>
          <w:szCs w:val="32"/>
        </w:rPr>
        <w:t>项目实施过程中存在的问题及原因分析；</w:t>
      </w:r>
    </w:p>
    <w:p>
      <w:pPr>
        <w:spacing w:line="570" w:lineRule="exact"/>
        <w:ind w:firstLine="640" w:firstLineChars="200"/>
        <w:rPr>
          <w:rFonts w:ascii="仿宋_GB2312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由于项目资金较少，有种植意愿种植户较多，无法将所有种植户兼顾。</w:t>
      </w:r>
    </w:p>
    <w:p>
      <w:pPr>
        <w:numPr>
          <w:ilvl w:val="0"/>
          <w:numId w:val="6"/>
        </w:numPr>
        <w:spacing w:line="570" w:lineRule="exact"/>
        <w:ind w:firstLine="640" w:firstLineChars="200"/>
        <w:rPr>
          <w:rFonts w:ascii="楷体_GB2312" w:hAnsi="仿宋" w:eastAsia="楷体_GB2312" w:cs="Times New Roman"/>
          <w:color w:val="000000"/>
          <w:sz w:val="32"/>
          <w:szCs w:val="32"/>
        </w:rPr>
      </w:pPr>
      <w:r>
        <w:rPr>
          <w:rFonts w:hint="eastAsia" w:ascii="楷体_GB2312" w:hAnsi="仿宋" w:eastAsia="楷体_GB2312" w:cs="Times New Roman"/>
          <w:color w:val="000000"/>
          <w:sz w:val="32"/>
          <w:szCs w:val="32"/>
        </w:rPr>
        <w:t>对下一年度项目实施的改进意见或建议。</w:t>
      </w:r>
    </w:p>
    <w:p>
      <w:pPr>
        <w:spacing w:line="570" w:lineRule="exact"/>
        <w:ind w:firstLine="640" w:firstLineChars="200"/>
        <w:rPr>
          <w:rFonts w:ascii="仿宋_GB2312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积极争取项目资金，让广大有意愿种植林果的种植户受益；</w:t>
      </w:r>
      <w:r>
        <w:rPr>
          <w:rFonts w:hint="eastAsia" w:ascii="仿宋_GB2312" w:hAnsi="宋体" w:eastAsia="仿宋_GB2312" w:cs="Times New Roman"/>
          <w:color w:val="000000"/>
          <w:sz w:val="32"/>
          <w:szCs w:val="32"/>
        </w:rPr>
        <w:t>成立科技研发中心，加强对外交流；加强对果农的技术培训。</w:t>
      </w:r>
    </w:p>
    <w:p>
      <w:pPr>
        <w:wordWrap w:val="0"/>
        <w:spacing w:line="570" w:lineRule="exact"/>
        <w:ind w:firstLine="640" w:firstLineChars="200"/>
        <w:jc w:val="right"/>
        <w:rPr>
          <w:rFonts w:ascii="仿宋" w:hAnsi="仿宋" w:eastAsia="仿宋" w:cs="仿宋"/>
          <w:bCs/>
          <w:sz w:val="32"/>
          <w:szCs w:val="32"/>
        </w:rPr>
      </w:pPr>
    </w:p>
    <w:p>
      <w:pPr>
        <w:wordWrap w:val="0"/>
        <w:spacing w:line="570" w:lineRule="exact"/>
        <w:ind w:firstLine="640" w:firstLineChars="200"/>
        <w:jc w:val="right"/>
        <w:rPr>
          <w:rFonts w:ascii="仿宋" w:hAnsi="仿宋" w:eastAsia="仿宋" w:cs="仿宋"/>
          <w:bCs/>
          <w:sz w:val="32"/>
          <w:szCs w:val="32"/>
        </w:rPr>
      </w:pPr>
    </w:p>
    <w:p>
      <w:pPr>
        <w:wordWrap w:val="0"/>
        <w:spacing w:line="570" w:lineRule="exact"/>
        <w:ind w:firstLine="640" w:firstLineChars="200"/>
        <w:jc w:val="right"/>
        <w:rPr>
          <w:rFonts w:ascii="仿宋" w:hAnsi="仿宋" w:eastAsia="仿宋" w:cs="仿宋"/>
          <w:bCs/>
          <w:sz w:val="32"/>
          <w:szCs w:val="32"/>
        </w:rPr>
      </w:pPr>
    </w:p>
    <w:p>
      <w:pPr>
        <w:wordWrap w:val="0"/>
        <w:spacing w:line="570" w:lineRule="exact"/>
        <w:ind w:firstLine="640" w:firstLineChars="200"/>
        <w:jc w:val="righ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英吉沙县托普鲁克乡人民政府</w:t>
      </w:r>
      <w:r>
        <w:rPr>
          <w:rFonts w:ascii="仿宋" w:hAnsi="仿宋" w:eastAsia="仿宋" w:cs="仿宋"/>
          <w:bCs/>
          <w:sz w:val="32"/>
          <w:szCs w:val="32"/>
        </w:rPr>
        <w:t xml:space="preserve"> </w:t>
      </w:r>
    </w:p>
    <w:p>
      <w:pPr>
        <w:spacing w:line="570" w:lineRule="exact"/>
        <w:ind w:right="84"/>
        <w:jc w:val="right"/>
        <w:rPr>
          <w:bCs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2018年12月28日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color="#FFFFFF [3201]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4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74E2492"/>
    <w:multiLevelType w:val="singleLevel"/>
    <w:tmpl w:val="974E249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DA7EC5E"/>
    <w:multiLevelType w:val="singleLevel"/>
    <w:tmpl w:val="ADA7EC5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E6B4833B"/>
    <w:multiLevelType w:val="singleLevel"/>
    <w:tmpl w:val="E6B4833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06F8B721"/>
    <w:multiLevelType w:val="singleLevel"/>
    <w:tmpl w:val="06F8B72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0B4C0C92"/>
    <w:multiLevelType w:val="singleLevel"/>
    <w:tmpl w:val="0B4C0C9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5E2D902D"/>
    <w:multiLevelType w:val="singleLevel"/>
    <w:tmpl w:val="5E2D902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2CF1C13"/>
    <w:rsid w:val="00021110"/>
    <w:rsid w:val="0008224F"/>
    <w:rsid w:val="00124695"/>
    <w:rsid w:val="003440E7"/>
    <w:rsid w:val="00570D57"/>
    <w:rsid w:val="006724A3"/>
    <w:rsid w:val="00793EA6"/>
    <w:rsid w:val="00867299"/>
    <w:rsid w:val="008768E2"/>
    <w:rsid w:val="00925D78"/>
    <w:rsid w:val="00CC0747"/>
    <w:rsid w:val="00E15BA9"/>
    <w:rsid w:val="00FA423F"/>
    <w:rsid w:val="02CF1C13"/>
    <w:rsid w:val="0F3B5AC5"/>
    <w:rsid w:val="1530586B"/>
    <w:rsid w:val="244F61FB"/>
    <w:rsid w:val="3BFB02D5"/>
    <w:rsid w:val="3E09305B"/>
    <w:rsid w:val="41930E88"/>
    <w:rsid w:val="461902FB"/>
    <w:rsid w:val="47113CFA"/>
    <w:rsid w:val="5D086889"/>
    <w:rsid w:val="65AC0136"/>
    <w:rsid w:val="6D535020"/>
    <w:rsid w:val="6F74381B"/>
    <w:rsid w:val="71E7589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keepNext/>
      <w:keepLines/>
      <w:spacing w:before="260" w:after="260" w:line="416" w:lineRule="auto"/>
      <w:ind w:firstLine="200" w:firstLineChars="200"/>
      <w:outlineLvl w:val="2"/>
    </w:pPr>
    <w:rPr>
      <w:b/>
      <w:sz w:val="32"/>
      <w:szCs w:val="3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Strong"/>
    <w:basedOn w:val="5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China</Company>
  <Pages>4</Pages>
  <Words>238</Words>
  <Characters>1358</Characters>
  <Lines>11</Lines>
  <Paragraphs>3</Paragraphs>
  <TotalTime>9</TotalTime>
  <ScaleCrop>false</ScaleCrop>
  <LinksUpToDate>false</LinksUpToDate>
  <CharactersWithSpaces>1593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2018-11-10T10:50:00Z</dcterms:created>
  <dc:creator>Administrator</dc:creator>
  <cp:lastModifiedBy>Administrator</cp:lastModifiedBy>
  <dcterms:modified xsi:type="dcterms:W3CDTF">2019-09-17T02:39:20Z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